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7" w:rsidRPr="00AF00EC" w:rsidRDefault="00DD4957" w:rsidP="00A328D9">
      <w:pPr>
        <w:jc w:val="center"/>
        <w:rPr>
          <w:b/>
        </w:rPr>
      </w:pPr>
      <w:r w:rsidRPr="00AF00EC">
        <w:rPr>
          <w:b/>
          <w:noProof/>
          <w:lang w:val="en-US" w:eastAsia="en-US" w:bidi="ar-SA"/>
        </w:rPr>
        <w:drawing>
          <wp:inline distT="0" distB="0" distL="0" distR="0" wp14:anchorId="31170A3A" wp14:editId="5BF01588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8D9" w:rsidRPr="00AF00EC" w:rsidRDefault="00BA0AC8" w:rsidP="00A328D9">
      <w:pPr>
        <w:jc w:val="center"/>
        <w:rPr>
          <w:b/>
          <w:sz w:val="26"/>
          <w:szCs w:val="26"/>
        </w:rPr>
      </w:pPr>
      <w:r w:rsidRPr="00AF00EC">
        <w:rPr>
          <w:b/>
          <w:sz w:val="26"/>
        </w:rPr>
        <w:t>Priekšlīgums</w:t>
      </w:r>
      <w:r w:rsidR="003A336F">
        <w:rPr>
          <w:b/>
          <w:sz w:val="26"/>
        </w:rPr>
        <w:br/>
        <w:t>(nodomu protokols)</w:t>
      </w:r>
    </w:p>
    <w:p w:rsidR="00F00463" w:rsidRPr="00AF00EC" w:rsidRDefault="00F00463" w:rsidP="00F00463">
      <w:pPr>
        <w:spacing w:after="0" w:line="240" w:lineRule="auto"/>
        <w:jc w:val="both"/>
      </w:pPr>
    </w:p>
    <w:p w:rsidR="00F00463" w:rsidRPr="00AF00EC" w:rsidRDefault="00F00463" w:rsidP="00F00463">
      <w:pPr>
        <w:spacing w:after="0" w:line="240" w:lineRule="auto"/>
        <w:jc w:val="both"/>
      </w:pPr>
      <w:r w:rsidRPr="00AF00EC">
        <w:t>Datums:</w:t>
      </w:r>
    </w:p>
    <w:p w:rsidR="005C1A89" w:rsidRPr="00AF00EC" w:rsidRDefault="005C1A89" w:rsidP="00F00463">
      <w:pPr>
        <w:spacing w:after="0" w:line="240" w:lineRule="auto"/>
        <w:jc w:val="both"/>
      </w:pPr>
    </w:p>
    <w:p w:rsidR="005C1A89" w:rsidRPr="00AF00EC" w:rsidRDefault="005C1A89" w:rsidP="00F00463">
      <w:pPr>
        <w:spacing w:after="0" w:line="240" w:lineRule="auto"/>
        <w:jc w:val="both"/>
      </w:pPr>
    </w:p>
    <w:p w:rsidR="00A328D9" w:rsidRPr="00AF00EC" w:rsidRDefault="00BA0AC8" w:rsidP="00F00463">
      <w:pPr>
        <w:spacing w:after="0" w:line="240" w:lineRule="auto"/>
        <w:jc w:val="both"/>
      </w:pPr>
      <w:r w:rsidRPr="00AF00EC">
        <w:t xml:space="preserve">Kam: ES līmeņa sektora </w:t>
      </w:r>
      <w:proofErr w:type="spellStart"/>
      <w:r w:rsidRPr="00AF00EC">
        <w:t>organizācija(s</w:t>
      </w:r>
      <w:proofErr w:type="spellEnd"/>
      <w:r w:rsidRPr="00AF00EC">
        <w:t>), kurā ietilpst zemāk parakstījusies sabiedrība</w:t>
      </w: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BA0AC8" w:rsidP="00F00463">
      <w:pPr>
        <w:spacing w:after="0" w:line="240" w:lineRule="auto"/>
        <w:jc w:val="both"/>
        <w:rPr>
          <w:b/>
          <w:u w:val="single"/>
        </w:rPr>
      </w:pPr>
      <w:r w:rsidRPr="00AF00EC">
        <w:rPr>
          <w:b/>
          <w:u w:val="single"/>
        </w:rPr>
        <w:t>[Sabiedrības nosaukums] apstiprina savu nolūku ieviest labas prakses principus</w:t>
      </w: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BA0AC8" w:rsidP="00F00463">
      <w:pPr>
        <w:spacing w:after="0" w:line="240" w:lineRule="auto"/>
        <w:jc w:val="both"/>
      </w:pPr>
      <w:r w:rsidRPr="00AF00EC">
        <w:t xml:space="preserve">Ar šo apstiprinu, ka [sabiedrības nosaukums] apņemas ievērot labas prakses principus vertikālajās attiecībās pārtikas piegādes ķēdē un atbalsta to ieviešanas un īstenošanas Satvaru. </w:t>
      </w: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BA0AC8" w:rsidP="00F00463">
      <w:pPr>
        <w:spacing w:after="0" w:line="240" w:lineRule="auto"/>
        <w:jc w:val="both"/>
      </w:pPr>
      <w:r w:rsidRPr="00AF00EC">
        <w:t xml:space="preserve">Šo Principu ievērošana rada labu pamatu uzņēmējdarbībai, un Piegādātāju ķēdes iniciatīva mums ļauj parādīt, ka šo instrumentu uztveram nopietni. </w:t>
      </w: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BA0AC8" w:rsidP="00F00463">
      <w:pPr>
        <w:spacing w:after="0" w:line="240" w:lineRule="auto"/>
        <w:jc w:val="both"/>
      </w:pPr>
      <w:r w:rsidRPr="00AF00EC">
        <w:t>Es apzinos, ka Satvars paredz vairākas apņemšanās, kas noformulētas šī priekšlīguma Pielikumā.</w:t>
      </w: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DE1B58" w:rsidP="00F00463">
      <w:pPr>
        <w:spacing w:after="0" w:line="240" w:lineRule="auto"/>
        <w:jc w:val="both"/>
      </w:pPr>
      <w:r w:rsidRPr="00AF00EC">
        <w:t>Es apstiprinu, ka saprātīgā laika periodā, vēlams 6 mēnešu laikā no priekšlīguma parakstīšanas un pirms formālas reģistrācijas, es būšu veicis nepieciešamos pasākumus Principu ieviešanai un darbībai atbilstoši Satvaram.</w:t>
      </w: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A328D9" w:rsidP="00F00463">
      <w:pPr>
        <w:spacing w:after="0" w:line="240" w:lineRule="auto"/>
        <w:jc w:val="both"/>
      </w:pPr>
    </w:p>
    <w:p w:rsidR="00A328D9" w:rsidRPr="00AF00EC" w:rsidRDefault="00A328D9" w:rsidP="00F00463">
      <w:pPr>
        <w:spacing w:after="0" w:line="240" w:lineRule="auto"/>
        <w:jc w:val="both"/>
      </w:pPr>
    </w:p>
    <w:p w:rsidR="005C1A89" w:rsidRPr="00AF00EC" w:rsidRDefault="00BA0AC8" w:rsidP="00F00463">
      <w:pPr>
        <w:spacing w:after="0" w:line="240" w:lineRule="auto"/>
        <w:jc w:val="both"/>
      </w:pPr>
      <w:proofErr w:type="gramStart"/>
      <w:r w:rsidRPr="00AF00EC">
        <w:t>[</w:t>
      </w:r>
      <w:proofErr w:type="spellStart"/>
      <w:proofErr w:type="gramEnd"/>
      <w:r w:rsidRPr="00AF00EC">
        <w:t>parakstījis(uši</w:t>
      </w:r>
      <w:proofErr w:type="spellEnd"/>
      <w:r w:rsidRPr="00AF00EC">
        <w:t xml:space="preserve">) </w:t>
      </w:r>
      <w:proofErr w:type="spellStart"/>
      <w:r w:rsidRPr="00AF00EC">
        <w:t>vadītājs(i</w:t>
      </w:r>
      <w:proofErr w:type="spellEnd"/>
      <w:r w:rsidRPr="00AF00EC">
        <w:t xml:space="preserve">), </w:t>
      </w:r>
      <w:proofErr w:type="spellStart"/>
      <w:r w:rsidRPr="00AF00EC">
        <w:t>kurš(i</w:t>
      </w:r>
      <w:proofErr w:type="spellEnd"/>
      <w:r w:rsidRPr="00AF00EC">
        <w:t xml:space="preserve">) ir </w:t>
      </w:r>
    </w:p>
    <w:p w:rsidR="00A328D9" w:rsidRPr="00AF00EC" w:rsidRDefault="00BA0AC8" w:rsidP="00F00463">
      <w:pPr>
        <w:spacing w:after="0" w:line="240" w:lineRule="auto"/>
        <w:jc w:val="both"/>
      </w:pPr>
      <w:r w:rsidRPr="00AF00EC">
        <w:t xml:space="preserve">pilnvaroti to </w:t>
      </w:r>
      <w:r w:rsidR="003A336F">
        <w:t>darīt visas sabiedrības vārdā ES līmenī, ieskaitot ES</w:t>
      </w:r>
      <w:r w:rsidRPr="00AF00EC">
        <w:t xml:space="preserve"> meitas uzņēmumus]</w:t>
      </w:r>
    </w:p>
    <w:p w:rsidR="00F24421" w:rsidRPr="00AF00EC" w:rsidRDefault="00F24421">
      <w:pPr>
        <w:rPr>
          <w:b/>
        </w:rPr>
      </w:pPr>
      <w:r w:rsidRPr="00AF00EC">
        <w:br w:type="page"/>
      </w:r>
    </w:p>
    <w:p w:rsidR="00F24421" w:rsidRPr="00AF00EC" w:rsidRDefault="00F24421" w:rsidP="00F00463">
      <w:pPr>
        <w:jc w:val="both"/>
        <w:rPr>
          <w:b/>
          <w:u w:val="single"/>
        </w:rPr>
      </w:pPr>
      <w:r w:rsidRPr="00AF00EC">
        <w:rPr>
          <w:b/>
          <w:u w:val="single"/>
        </w:rPr>
        <w:lastRenderedPageBreak/>
        <w:t xml:space="preserve">Informācija par [sabiedrības nosaukums] </w:t>
      </w:r>
    </w:p>
    <w:p w:rsidR="00AA0A3C" w:rsidRPr="00AF00EC" w:rsidRDefault="00AA0A3C" w:rsidP="00F00463">
      <w:pPr>
        <w:jc w:val="both"/>
        <w:rPr>
          <w:b/>
          <w:u w:val="single"/>
        </w:rPr>
      </w:pPr>
    </w:p>
    <w:p w:rsidR="00F24421" w:rsidRPr="00AF00EC" w:rsidRDefault="00F24421" w:rsidP="00F00463">
      <w:pPr>
        <w:jc w:val="both"/>
        <w:rPr>
          <w:b/>
        </w:rPr>
      </w:pPr>
      <w:r w:rsidRPr="00AF00EC">
        <w:rPr>
          <w:b/>
        </w:rPr>
        <w:t xml:space="preserve"> [Sabiedrības nosaukums] veic darbību </w:t>
      </w:r>
      <w:proofErr w:type="spellStart"/>
      <w:r w:rsidRPr="00AF00EC">
        <w:rPr>
          <w:b/>
        </w:rPr>
        <w:t>tālākminētajā(s</w:t>
      </w:r>
      <w:proofErr w:type="spellEnd"/>
      <w:r w:rsidRPr="00AF00EC">
        <w:rPr>
          <w:b/>
        </w:rPr>
        <w:t xml:space="preserve">) </w:t>
      </w:r>
      <w:proofErr w:type="spellStart"/>
      <w:r w:rsidRPr="00AF00EC">
        <w:rPr>
          <w:b/>
        </w:rPr>
        <w:t>valstī(s</w:t>
      </w:r>
      <w:proofErr w:type="spellEnd"/>
      <w:r w:rsidRPr="00AF00EC">
        <w:rPr>
          <w:b/>
        </w:rPr>
        <w:t>):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  <w:sectPr w:rsidR="00F24421" w:rsidRPr="00AF00EC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10" o:title=""/>
          </v:shape>
          <w:control r:id="rId11" w:name="DefaultOcxName110" w:shapeid="_x0000_i1026"/>
        </w:object>
      </w:r>
      <w:r w:rsidRPr="00AF00EC">
        <w:rPr>
          <w:rFonts w:ascii="Arial" w:hAnsi="Arial"/>
          <w:color w:val="333333"/>
          <w:sz w:val="20"/>
        </w:rPr>
        <w:t> Austrija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28" type="#_x0000_t75" style="width:20.25pt;height:18pt" o:ole="">
            <v:imagedata r:id="rId10" o:title=""/>
          </v:shape>
          <w:control r:id="rId12" w:name="DefaultOcxName1" w:shapeid="_x0000_i1028"/>
        </w:object>
      </w:r>
      <w:r w:rsidRPr="00AF00EC">
        <w:rPr>
          <w:rFonts w:ascii="Arial" w:hAnsi="Arial"/>
          <w:color w:val="333333"/>
          <w:sz w:val="20"/>
        </w:rPr>
        <w:t> Beļģija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0" type="#_x0000_t75" style="width:20.25pt;height:18pt" o:ole="">
            <v:imagedata r:id="rId10" o:title=""/>
          </v:shape>
          <w:control r:id="rId13" w:name="DefaultOcxName2" w:shapeid="_x0000_i1030"/>
        </w:object>
      </w:r>
      <w:r w:rsidRPr="00AF00EC">
        <w:rPr>
          <w:rFonts w:ascii="Arial" w:hAnsi="Arial"/>
          <w:color w:val="333333"/>
          <w:sz w:val="20"/>
        </w:rPr>
        <w:t> Bulgārija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2" type="#_x0000_t75" style="width:20.25pt;height:18pt" o:ole="">
            <v:imagedata r:id="rId10" o:title=""/>
          </v:shape>
          <w:control r:id="rId14" w:name="DefaultOcxName3" w:shapeid="_x0000_i1032"/>
        </w:object>
      </w:r>
      <w:r w:rsidRPr="00AF00EC">
        <w:rPr>
          <w:rFonts w:ascii="Arial" w:hAnsi="Arial"/>
          <w:color w:val="333333"/>
          <w:sz w:val="20"/>
        </w:rPr>
        <w:t> Horvātija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4" type="#_x0000_t75" style="width:20.25pt;height:18pt" o:ole="">
            <v:imagedata r:id="rId10" o:title=""/>
          </v:shape>
          <w:control r:id="rId15" w:name="DefaultOcxName4" w:shapeid="_x0000_i1034"/>
        </w:object>
      </w:r>
      <w:r w:rsidRPr="00AF00EC">
        <w:rPr>
          <w:rFonts w:ascii="Arial" w:hAnsi="Arial"/>
          <w:color w:val="333333"/>
          <w:sz w:val="20"/>
        </w:rPr>
        <w:t> Kipra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6" type="#_x0000_t75" style="width:20.25pt;height:18pt" o:ole="">
            <v:imagedata r:id="rId10" o:title=""/>
          </v:shape>
          <w:control r:id="rId16" w:name="DefaultOcxName5" w:shapeid="_x0000_i1036"/>
        </w:object>
      </w:r>
      <w:r w:rsidRPr="00AF00EC">
        <w:rPr>
          <w:rFonts w:ascii="Arial" w:hAnsi="Arial"/>
          <w:color w:val="333333"/>
          <w:sz w:val="20"/>
        </w:rPr>
        <w:t> Čehijas Republika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8" type="#_x0000_t75" style="width:20.25pt;height:18pt" o:ole="">
            <v:imagedata r:id="rId10" o:title=""/>
          </v:shape>
          <w:control r:id="rId17" w:name="DefaultOcxName6" w:shapeid="_x0000_i1038"/>
        </w:object>
      </w:r>
      <w:r w:rsidRPr="00AF00EC">
        <w:rPr>
          <w:rFonts w:ascii="Arial" w:hAnsi="Arial"/>
          <w:color w:val="333333"/>
          <w:sz w:val="20"/>
        </w:rPr>
        <w:t> Dānija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040" type="#_x0000_t75" style="width:20.25pt;height:18pt" o:ole="">
            <v:imagedata r:id="rId10" o:title=""/>
          </v:shape>
          <w:control r:id="rId18" w:name="DefaultOcxName7" w:shapeid="_x0000_i1040"/>
        </w:object>
      </w:r>
      <w:r w:rsidRPr="00AF00EC">
        <w:rPr>
          <w:rFonts w:ascii="Arial" w:hAnsi="Arial"/>
          <w:color w:val="333333"/>
          <w:sz w:val="20"/>
        </w:rPr>
        <w:t> Igaunija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2" type="#_x0000_t75" style="width:20.25pt;height:18pt" o:ole="">
            <v:imagedata r:id="rId10" o:title=""/>
          </v:shape>
          <w:control r:id="rId19" w:name="DefaultOcxName8" w:shapeid="_x0000_i1042"/>
        </w:object>
      </w:r>
      <w:r w:rsidRPr="00AF00EC">
        <w:rPr>
          <w:rFonts w:ascii="Arial" w:hAnsi="Arial"/>
          <w:color w:val="333333"/>
          <w:sz w:val="20"/>
        </w:rPr>
        <w:t> Somija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4" type="#_x0000_t75" style="width:20.25pt;height:18pt" o:ole="">
            <v:imagedata r:id="rId10" o:title=""/>
          </v:shape>
          <w:control r:id="rId20" w:name="DefaultOcxName9" w:shapeid="_x0000_i1044"/>
        </w:object>
      </w:r>
      <w:r w:rsidRPr="00AF00EC">
        <w:rPr>
          <w:rFonts w:ascii="Arial" w:hAnsi="Arial"/>
          <w:color w:val="333333"/>
          <w:sz w:val="20"/>
        </w:rPr>
        <w:t> Francija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6" type="#_x0000_t75" style="width:20.25pt;height:18pt" o:ole="">
            <v:imagedata r:id="rId10" o:title=""/>
          </v:shape>
          <w:control r:id="rId21" w:name="DefaultOcxName10" w:shapeid="_x0000_i1046"/>
        </w:object>
      </w:r>
      <w:r w:rsidRPr="00AF00EC">
        <w:rPr>
          <w:rFonts w:ascii="Arial" w:hAnsi="Arial"/>
          <w:color w:val="333333"/>
          <w:sz w:val="20"/>
        </w:rPr>
        <w:t> Vācija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8" type="#_x0000_t75" style="width:20.25pt;height:18pt" o:ole="">
            <v:imagedata r:id="rId10" o:title=""/>
          </v:shape>
          <w:control r:id="rId22" w:name="DefaultOcxName11" w:shapeid="_x0000_i1048"/>
        </w:object>
      </w:r>
      <w:r w:rsidRPr="00AF00EC">
        <w:rPr>
          <w:rFonts w:ascii="Arial" w:hAnsi="Arial"/>
          <w:color w:val="333333"/>
          <w:sz w:val="20"/>
        </w:rPr>
        <w:t> Grieķija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0" type="#_x0000_t75" style="width:20.25pt;height:18pt" o:ole="">
            <v:imagedata r:id="rId10" o:title=""/>
          </v:shape>
          <w:control r:id="rId23" w:name="DefaultOcxName12" w:shapeid="_x0000_i1050"/>
        </w:object>
      </w:r>
      <w:r w:rsidRPr="00AF00EC">
        <w:rPr>
          <w:rFonts w:ascii="Arial" w:hAnsi="Arial"/>
          <w:color w:val="333333"/>
          <w:sz w:val="20"/>
        </w:rPr>
        <w:t> Ungārija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2" type="#_x0000_t75" style="width:20.25pt;height:18pt" o:ole="">
            <v:imagedata r:id="rId10" o:title=""/>
          </v:shape>
          <w:control r:id="rId24" w:name="DefaultOcxName13" w:shapeid="_x0000_i1052"/>
        </w:object>
      </w:r>
      <w:r w:rsidRPr="00AF00EC">
        <w:rPr>
          <w:rFonts w:ascii="Arial" w:hAnsi="Arial"/>
          <w:color w:val="333333"/>
          <w:sz w:val="20"/>
        </w:rPr>
        <w:t> Īrija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4" type="#_x0000_t75" style="width:20.25pt;height:18pt" o:ole="">
            <v:imagedata r:id="rId10" o:title=""/>
          </v:shape>
          <w:control r:id="rId25" w:name="DefaultOcxName14" w:shapeid="_x0000_i1054"/>
        </w:object>
      </w:r>
      <w:r w:rsidRPr="00AF00EC">
        <w:rPr>
          <w:rFonts w:ascii="Arial" w:hAnsi="Arial"/>
          <w:color w:val="333333"/>
          <w:sz w:val="20"/>
        </w:rPr>
        <w:t> Itālija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056" type="#_x0000_t75" style="width:20.25pt;height:18pt" o:ole="">
            <v:imagedata r:id="rId10" o:title=""/>
          </v:shape>
          <w:control r:id="rId26" w:name="DefaultOcxName15" w:shapeid="_x0000_i1056"/>
        </w:object>
      </w:r>
      <w:r w:rsidRPr="00AF00EC">
        <w:rPr>
          <w:rFonts w:ascii="Arial" w:hAnsi="Arial"/>
          <w:color w:val="333333"/>
          <w:sz w:val="20"/>
        </w:rPr>
        <w:t> Latvija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8" type="#_x0000_t75" style="width:20.25pt;height:18pt" o:ole="">
            <v:imagedata r:id="rId10" o:title=""/>
          </v:shape>
          <w:control r:id="rId27" w:name="DefaultOcxName16" w:shapeid="_x0000_i1058"/>
        </w:object>
      </w:r>
      <w:r w:rsidRPr="00AF00EC">
        <w:rPr>
          <w:rFonts w:ascii="Arial" w:hAnsi="Arial"/>
          <w:color w:val="333333"/>
          <w:sz w:val="20"/>
        </w:rPr>
        <w:t> Lietuva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0" type="#_x0000_t75" style="width:20.25pt;height:18pt" o:ole="">
            <v:imagedata r:id="rId10" o:title=""/>
          </v:shape>
          <w:control r:id="rId28" w:name="DefaultOcxName17" w:shapeid="_x0000_i1060"/>
        </w:object>
      </w:r>
      <w:r w:rsidRPr="00AF00EC">
        <w:rPr>
          <w:rFonts w:ascii="Arial" w:hAnsi="Arial"/>
          <w:color w:val="333333"/>
          <w:sz w:val="20"/>
        </w:rPr>
        <w:t> Luksemburga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2" type="#_x0000_t75" style="width:20.25pt;height:18pt" o:ole="">
            <v:imagedata r:id="rId10" o:title=""/>
          </v:shape>
          <w:control r:id="rId29" w:name="DefaultOcxName18" w:shapeid="_x0000_i1062"/>
        </w:object>
      </w:r>
      <w:r w:rsidRPr="00AF00EC">
        <w:rPr>
          <w:rFonts w:ascii="Arial" w:hAnsi="Arial"/>
          <w:color w:val="333333"/>
          <w:sz w:val="20"/>
        </w:rPr>
        <w:t> Malta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4" type="#_x0000_t75" style="width:20.25pt;height:18pt" o:ole="">
            <v:imagedata r:id="rId10" o:title=""/>
          </v:shape>
          <w:control r:id="rId30" w:name="DefaultOcxName19" w:shapeid="_x0000_i1064"/>
        </w:object>
      </w:r>
      <w:r w:rsidRPr="00AF00EC">
        <w:rPr>
          <w:rFonts w:ascii="Arial" w:hAnsi="Arial"/>
          <w:color w:val="333333"/>
          <w:sz w:val="20"/>
        </w:rPr>
        <w:t> Nīderlande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6" type="#_x0000_t75" style="width:20.25pt;height:18pt" o:ole="">
            <v:imagedata r:id="rId10" o:title=""/>
          </v:shape>
          <w:control r:id="rId31" w:name="DefaultOcxName20" w:shapeid="_x0000_i1066"/>
        </w:object>
      </w:r>
      <w:r w:rsidRPr="00AF00EC">
        <w:rPr>
          <w:rFonts w:ascii="Arial" w:hAnsi="Arial"/>
          <w:color w:val="333333"/>
          <w:sz w:val="20"/>
        </w:rPr>
        <w:t> Polija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8" type="#_x0000_t75" style="width:20.25pt;height:18pt" o:ole="">
            <v:imagedata r:id="rId10" o:title=""/>
          </v:shape>
          <w:control r:id="rId32" w:name="DefaultOcxName21" w:shapeid="_x0000_i1068"/>
        </w:object>
      </w:r>
      <w:r w:rsidRPr="00AF00EC">
        <w:rPr>
          <w:rFonts w:ascii="Arial" w:hAnsi="Arial"/>
          <w:color w:val="333333"/>
          <w:sz w:val="20"/>
        </w:rPr>
        <w:t> Portugāle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0" type="#_x0000_t75" style="width:20.25pt;height:18pt" o:ole="">
            <v:imagedata r:id="rId10" o:title=""/>
          </v:shape>
          <w:control r:id="rId33" w:name="DefaultOcxName22" w:shapeid="_x0000_i1070"/>
        </w:object>
      </w:r>
      <w:r w:rsidRPr="00AF00EC">
        <w:rPr>
          <w:rFonts w:ascii="Arial" w:hAnsi="Arial"/>
          <w:color w:val="333333"/>
          <w:sz w:val="20"/>
        </w:rPr>
        <w:t> Rumānija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072" type="#_x0000_t75" style="width:20.25pt;height:18pt" o:ole="">
            <v:imagedata r:id="rId10" o:title=""/>
          </v:shape>
          <w:control r:id="rId34" w:name="DefaultOcxName23" w:shapeid="_x0000_i1072"/>
        </w:object>
      </w:r>
      <w:r w:rsidRPr="00AF00EC">
        <w:rPr>
          <w:rFonts w:ascii="Arial" w:hAnsi="Arial"/>
          <w:color w:val="333333"/>
          <w:sz w:val="20"/>
        </w:rPr>
        <w:t> Slovākija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4" type="#_x0000_t75" style="width:20.25pt;height:18pt" o:ole="">
            <v:imagedata r:id="rId10" o:title=""/>
          </v:shape>
          <w:control r:id="rId35" w:name="DefaultOcxName24" w:shapeid="_x0000_i1074"/>
        </w:object>
      </w:r>
      <w:r w:rsidRPr="00AF00EC">
        <w:rPr>
          <w:rFonts w:ascii="Arial" w:hAnsi="Arial"/>
          <w:color w:val="333333"/>
          <w:sz w:val="20"/>
        </w:rPr>
        <w:t> Slovēnija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6" type="#_x0000_t75" style="width:20.25pt;height:18pt" o:ole="">
            <v:imagedata r:id="rId10" o:title=""/>
          </v:shape>
          <w:control r:id="rId36" w:name="DefaultOcxName25" w:shapeid="_x0000_i1076"/>
        </w:object>
      </w:r>
      <w:r w:rsidRPr="00AF00EC">
        <w:rPr>
          <w:rFonts w:ascii="Arial" w:hAnsi="Arial"/>
          <w:color w:val="333333"/>
          <w:sz w:val="20"/>
        </w:rPr>
        <w:t> Spānija</w:t>
      </w:r>
    </w:p>
    <w:p w:rsidR="00F24421" w:rsidRPr="00AF00EC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8" type="#_x0000_t75" style="width:20.25pt;height:18pt" o:ole="">
            <v:imagedata r:id="rId10" o:title=""/>
          </v:shape>
          <w:control r:id="rId37" w:name="DefaultOcxName26" w:shapeid="_x0000_i1078"/>
        </w:object>
      </w:r>
      <w:r w:rsidRPr="00AF00EC">
        <w:rPr>
          <w:rFonts w:ascii="Arial" w:hAnsi="Arial"/>
          <w:color w:val="333333"/>
          <w:sz w:val="20"/>
        </w:rPr>
        <w:t> Zviedrija</w:t>
      </w:r>
    </w:p>
    <w:p w:rsidR="00F24421" w:rsidRPr="00AF00EC" w:rsidRDefault="00F24421" w:rsidP="00F24421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0" type="#_x0000_t75" style="width:20.25pt;height:18pt" o:ole="">
            <v:imagedata r:id="rId10" o:title=""/>
          </v:shape>
          <w:control r:id="rId38" w:name="DefaultOcxName27" w:shapeid="_x0000_i1080"/>
        </w:object>
      </w:r>
      <w:r w:rsidRPr="00AF00EC">
        <w:rPr>
          <w:rFonts w:ascii="Arial" w:hAnsi="Arial"/>
          <w:color w:val="333333"/>
          <w:sz w:val="20"/>
        </w:rPr>
        <w:t> Apvienotā Karaliste</w:t>
      </w:r>
    </w:p>
    <w:p w:rsidR="00F24421" w:rsidRPr="00AF00EC" w:rsidRDefault="00F24421" w:rsidP="00F00463">
      <w:pPr>
        <w:jc w:val="both"/>
        <w:rPr>
          <w:b/>
          <w:u w:val="single"/>
        </w:rPr>
        <w:sectPr w:rsidR="00F24421" w:rsidRPr="00AF00EC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w:rsidR="00F24421" w:rsidRPr="00AF00EC" w:rsidRDefault="00F24421" w:rsidP="00F00463">
      <w:pPr>
        <w:jc w:val="both"/>
        <w:rPr>
          <w:b/>
          <w:u w:val="single"/>
        </w:rPr>
      </w:pPr>
    </w:p>
    <w:p w:rsidR="00F24421" w:rsidRPr="00AF00EC" w:rsidRDefault="00F24421" w:rsidP="00F00463">
      <w:pPr>
        <w:jc w:val="both"/>
        <w:rPr>
          <w:b/>
          <w:u w:val="single"/>
        </w:rPr>
      </w:pPr>
    </w:p>
    <w:p w:rsidR="00F24421" w:rsidRPr="00AF00EC" w:rsidRDefault="00F24421" w:rsidP="00F00463">
      <w:pPr>
        <w:jc w:val="both"/>
        <w:rPr>
          <w:b/>
        </w:rPr>
      </w:pPr>
      <w:r w:rsidRPr="00AF00EC">
        <w:t>[Sabiedrības nosaukums] veic darbību galvenokārt tālākminētajā sektorā:</w:t>
      </w:r>
      <w:r w:rsidR="00AF00EC">
        <w:rPr>
          <w:i/>
        </w:rPr>
        <w:t xml:space="preserve"> (atzīmējiet vajadzīgo</w:t>
      </w:r>
      <w:r w:rsidRPr="00AF00EC">
        <w:rPr>
          <w:i/>
        </w:rPr>
        <w:t>)</w:t>
      </w:r>
    </w:p>
    <w:p w:rsidR="00F24421" w:rsidRPr="00AF00EC" w:rsidRDefault="00F24421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2" type="#_x0000_t75" style="width:20.25pt;height:18pt" o:ole="">
            <v:imagedata r:id="rId39" o:title=""/>
          </v:shape>
          <w:control r:id="rId40" w:name="DefaultOcxName441" w:shapeid="_x0000_i1082"/>
        </w:object>
      </w:r>
      <w:r w:rsidRPr="00AF00EC">
        <w:rPr>
          <w:rFonts w:ascii="Arial" w:hAnsi="Arial"/>
          <w:color w:val="333333"/>
          <w:sz w:val="20"/>
        </w:rPr>
        <w:t> Lauksaimniecība</w:t>
      </w:r>
      <w:proofErr w:type="gramStart"/>
      <w:r w:rsidRPr="00AF00EC">
        <w:rPr>
          <w:rFonts w:ascii="Arial" w:hAnsi="Arial"/>
          <w:color w:val="333333"/>
          <w:sz w:val="20"/>
        </w:rPr>
        <w:t xml:space="preserve">       </w:t>
      </w:r>
      <w:proofErr w:type="gramEnd"/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4" type="#_x0000_t75" style="width:20.25pt;height:18pt" o:ole="">
            <v:imagedata r:id="rId41" o:title=""/>
          </v:shape>
          <w:control r:id="rId42" w:name="DefaultOcxName443" w:shapeid="_x0000_i1084"/>
        </w:object>
      </w:r>
      <w:r w:rsidRPr="00AF00EC">
        <w:rPr>
          <w:rFonts w:ascii="Arial" w:hAnsi="Arial"/>
          <w:color w:val="333333"/>
          <w:sz w:val="20"/>
        </w:rPr>
        <w:t xml:space="preserve"> Vairumtirdzniecība         </w:t>
      </w: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6" type="#_x0000_t75" style="width:20.25pt;height:18pt" o:ole="">
            <v:imagedata r:id="rId41" o:title=""/>
          </v:shape>
          <w:control r:id="rId43" w:name="DefaultOcxName444" w:shapeid="_x0000_i1086"/>
        </w:object>
      </w:r>
      <w:r w:rsidRPr="00AF00EC">
        <w:rPr>
          <w:rFonts w:ascii="Arial" w:hAnsi="Arial"/>
          <w:color w:val="333333"/>
          <w:sz w:val="20"/>
        </w:rPr>
        <w:t xml:space="preserve">Ražošana   </w:t>
      </w:r>
      <w:r w:rsidRPr="00AF00E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8" type="#_x0000_t75" style="width:20.25pt;height:18pt" o:ole="">
            <v:imagedata r:id="rId41" o:title=""/>
          </v:shape>
          <w:control r:id="rId44" w:name="DefaultOcxName445" w:shapeid="_x0000_i1088"/>
        </w:object>
      </w:r>
      <w:r w:rsidRPr="00AF00EC">
        <w:rPr>
          <w:rFonts w:ascii="Arial" w:hAnsi="Arial"/>
          <w:color w:val="333333"/>
          <w:sz w:val="20"/>
        </w:rPr>
        <w:t> Mazumtirdzniecība</w:t>
      </w:r>
    </w:p>
    <w:p w:rsidR="00F24421" w:rsidRPr="00AF00EC" w:rsidRDefault="00F24421" w:rsidP="00F00463">
      <w:pPr>
        <w:jc w:val="both"/>
        <w:rPr>
          <w:b/>
        </w:rPr>
      </w:pPr>
    </w:p>
    <w:p w:rsidR="00F24421" w:rsidRPr="00AF00EC" w:rsidRDefault="00F24421" w:rsidP="00F00463">
      <w:pPr>
        <w:jc w:val="both"/>
        <w:rPr>
          <w:b/>
        </w:rPr>
      </w:pPr>
    </w:p>
    <w:p w:rsidR="00F24421" w:rsidRPr="00AF00EC" w:rsidRDefault="00F24421" w:rsidP="00F00463">
      <w:pPr>
        <w:jc w:val="both"/>
        <w:rPr>
          <w:b/>
        </w:rPr>
      </w:pPr>
      <w:r w:rsidRPr="00AF00EC">
        <w:rPr>
          <w:b/>
        </w:rPr>
        <w:t>[Sabiedrības nosaukums] ir mazais vai vidējais uzņēmums</w:t>
      </w:r>
      <w:r w:rsidRPr="00AF00EC">
        <w:rPr>
          <w:rStyle w:val="FootnoteReference"/>
          <w:b/>
        </w:rPr>
        <w:footnoteReference w:id="1"/>
      </w:r>
      <w:r w:rsidRPr="00AF00EC">
        <w:rPr>
          <w:b/>
        </w:rPr>
        <w:t xml:space="preserve"> </w:t>
      </w:r>
      <w:r w:rsidRPr="00AF00EC">
        <w:rPr>
          <w:i/>
        </w:rPr>
        <w:t>(izvēlieties "jā" vai "nē")</w:t>
      </w:r>
    </w:p>
    <w:p w:rsidR="00661631" w:rsidRPr="00AF00EC" w:rsidRDefault="003A336F" w:rsidP="00661631">
      <w:pPr>
        <w:jc w:val="both"/>
      </w:pPr>
      <w:sdt>
        <w:sdtPr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12AAB" w:rsidRPr="00AF00EC">
            <w:t>Jā</w:t>
          </w:r>
        </w:sdtContent>
      </w:sdt>
    </w:p>
    <w:p w:rsidR="00A328D9" w:rsidRPr="00AF00EC" w:rsidRDefault="00BA0AC8" w:rsidP="00F00463">
      <w:pPr>
        <w:jc w:val="both"/>
        <w:rPr>
          <w:b/>
        </w:rPr>
      </w:pPr>
      <w:r w:rsidRPr="00AF00EC">
        <w:br w:type="page"/>
      </w:r>
    </w:p>
    <w:p w:rsidR="00A328D9" w:rsidRPr="00AF00EC" w:rsidRDefault="00BA0AC8" w:rsidP="00F00463">
      <w:pPr>
        <w:jc w:val="both"/>
        <w:rPr>
          <w:b/>
          <w:u w:val="single"/>
        </w:rPr>
      </w:pPr>
      <w:r w:rsidRPr="00AF00EC">
        <w:rPr>
          <w:b/>
          <w:u w:val="single"/>
        </w:rPr>
        <w:lastRenderedPageBreak/>
        <w:t>Pielikums</w:t>
      </w:r>
    </w:p>
    <w:p w:rsidR="00EB5727" w:rsidRPr="00AF00EC" w:rsidRDefault="00BA0AC8" w:rsidP="00F00463">
      <w:pPr>
        <w:jc w:val="both"/>
        <w:rPr>
          <w:b/>
        </w:rPr>
      </w:pPr>
      <w:r w:rsidRPr="00AF00EC">
        <w:rPr>
          <w:b/>
        </w:rPr>
        <w:t>Labas prakses ieviešanas satvars</w:t>
      </w:r>
    </w:p>
    <w:p w:rsidR="00EB5727" w:rsidRPr="00AF00EC" w:rsidRDefault="00BA0AC8" w:rsidP="00F00463">
      <w:pPr>
        <w:jc w:val="both"/>
        <w:rPr>
          <w:b/>
        </w:rPr>
      </w:pPr>
      <w:r w:rsidRPr="00AF00EC">
        <w:rPr>
          <w:b/>
        </w:rPr>
        <w:t>Sabiedrību apņemšanās un rīcība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AF00EC" w:rsidTr="00F00463">
        <w:tc>
          <w:tcPr>
            <w:tcW w:w="9242" w:type="dxa"/>
          </w:tcPr>
          <w:p w:rsidR="00F00463" w:rsidRPr="00AF00EC" w:rsidRDefault="00F00463" w:rsidP="00F00463">
            <w:pPr>
              <w:rPr>
                <w:b/>
              </w:rPr>
            </w:pPr>
            <w:r w:rsidRPr="00AF00EC">
              <w:rPr>
                <w:b/>
              </w:rPr>
              <w:t>Īsumā:</w:t>
            </w:r>
          </w:p>
          <w:p w:rsidR="00F00463" w:rsidRPr="00AF00EC" w:rsidRDefault="00AF00EC" w:rsidP="00F0046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F00463" w:rsidRPr="00AF00EC">
              <w:t>abiedrības var nolemt, vai parakstīt Satvaru</w:t>
            </w:r>
          </w:p>
          <w:p w:rsidR="00F00463" w:rsidRPr="00AF00EC" w:rsidRDefault="00AF00EC" w:rsidP="00F00463">
            <w:pPr>
              <w:pStyle w:val="ListParagraph"/>
              <w:numPr>
                <w:ilvl w:val="0"/>
                <w:numId w:val="1"/>
              </w:numPr>
            </w:pPr>
            <w:r>
              <w:t>j</w:t>
            </w:r>
            <w:r w:rsidR="00F00463" w:rsidRPr="00AF00EC">
              <w:t>a tās izvēlas parakstīt, tās piekrīt:</w:t>
            </w:r>
          </w:p>
          <w:p w:rsidR="00F00463" w:rsidRPr="00AF00EC" w:rsidRDefault="00AF00EC" w:rsidP="00F00463">
            <w:pPr>
              <w:pStyle w:val="ListParagraph"/>
              <w:numPr>
                <w:ilvl w:val="1"/>
                <w:numId w:val="1"/>
              </w:numPr>
            </w:pPr>
            <w:r>
              <w:t>i</w:t>
            </w:r>
            <w:r w:rsidR="00F00463" w:rsidRPr="00AF00EC">
              <w:t>evērot Labas prakses principus vertikālajās attiecībās pārtikas piegādes ķēdē</w:t>
            </w:r>
          </w:p>
          <w:p w:rsidR="00F00463" w:rsidRPr="00AF00EC" w:rsidRDefault="00AF00EC" w:rsidP="00F00463">
            <w:pPr>
              <w:pStyle w:val="ListParagraph"/>
              <w:numPr>
                <w:ilvl w:val="1"/>
                <w:numId w:val="1"/>
              </w:numPr>
            </w:pPr>
            <w:r>
              <w:t>r</w:t>
            </w:r>
            <w:r w:rsidR="00F00463" w:rsidRPr="00AF00EC">
              <w:t>isināt jebkurus strīdus attiecībā uz šiem Principiem atbilstoši noteiktajiem strīdu risināšanas variantiem</w:t>
            </w:r>
          </w:p>
          <w:p w:rsidR="00F00463" w:rsidRPr="00AF00EC" w:rsidRDefault="00AF00EC" w:rsidP="00F00463">
            <w:pPr>
              <w:pStyle w:val="ListParagraph"/>
              <w:numPr>
                <w:ilvl w:val="1"/>
                <w:numId w:val="1"/>
              </w:numPr>
            </w:pPr>
            <w:r>
              <w:t>i</w:t>
            </w:r>
            <w:r w:rsidR="00F00463" w:rsidRPr="00AF00EC">
              <w:t>eviest visus pārējos obligātos Satvara nosacījumus</w:t>
            </w:r>
          </w:p>
          <w:p w:rsidR="00F00463" w:rsidRPr="00AF00EC" w:rsidRDefault="00AF00EC" w:rsidP="00F00463">
            <w:pPr>
              <w:pStyle w:val="ListParagraph"/>
              <w:numPr>
                <w:ilvl w:val="1"/>
                <w:numId w:val="1"/>
              </w:numPr>
            </w:pPr>
            <w:r>
              <w:t>r</w:t>
            </w:r>
            <w:r w:rsidR="00F00463" w:rsidRPr="00AF00EC">
              <w:t>eģistrēt dalību uzticamā, publiski pieejamā interneta lapā</w:t>
            </w:r>
          </w:p>
          <w:p w:rsidR="00F00463" w:rsidRPr="00AF00EC" w:rsidRDefault="00F00463" w:rsidP="00F00463">
            <w:pPr>
              <w:jc w:val="both"/>
              <w:rPr>
                <w:b/>
              </w:rPr>
            </w:pPr>
          </w:p>
        </w:tc>
      </w:tr>
    </w:tbl>
    <w:p w:rsidR="00F00463" w:rsidRPr="00AF00EC" w:rsidRDefault="00F00463" w:rsidP="00F00463">
      <w:pPr>
        <w:jc w:val="both"/>
        <w:rPr>
          <w:b/>
        </w:rPr>
      </w:pPr>
    </w:p>
    <w:p w:rsidR="006F41AE" w:rsidRPr="00AF00EC" w:rsidRDefault="00BA0AC8" w:rsidP="00F00463">
      <w:pPr>
        <w:jc w:val="both"/>
        <w:rPr>
          <w:b/>
        </w:rPr>
      </w:pPr>
      <w:r w:rsidRPr="00AF00EC">
        <w:rPr>
          <w:b/>
        </w:rPr>
        <w:t>Obligātie nosacījumi</w:t>
      </w:r>
    </w:p>
    <w:p w:rsidR="006F41AE" w:rsidRPr="00AF00EC" w:rsidRDefault="00F77EEB" w:rsidP="00F00463">
      <w:pPr>
        <w:jc w:val="both"/>
        <w:rPr>
          <w:u w:val="single"/>
        </w:rPr>
      </w:pPr>
      <w:r w:rsidRPr="00AF00EC">
        <w:rPr>
          <w:u w:val="single"/>
        </w:rPr>
        <w:t>Pirms reģistrācijas</w:t>
      </w:r>
    </w:p>
    <w:p w:rsidR="00CC4B7F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Nodrošiniet augstākās vadības atbalstu reģistrācijai</w:t>
      </w:r>
    </w:p>
    <w:p w:rsidR="00F77EEB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Veiciet pašnovērtējumu, pārskatot iekšējās procedūras, lai tās nodrošinātu principu ievērošanu, tostarp (ja nepieciešams):</w:t>
      </w:r>
    </w:p>
    <w:p w:rsidR="00F77EEB" w:rsidRPr="00AF00EC" w:rsidRDefault="00BA0AC8" w:rsidP="00F00463">
      <w:pPr>
        <w:pStyle w:val="ListParagraph"/>
        <w:numPr>
          <w:ilvl w:val="1"/>
          <w:numId w:val="1"/>
        </w:numPr>
        <w:jc w:val="both"/>
      </w:pPr>
      <w:r w:rsidRPr="00AF00EC">
        <w:t>Izveidojiet/pielāgojiet apmācības kursus, lai darbība norisinātos atbilstoši Principiem. Reģistrācijas brīdī apmācībai jābūt uzsāktai, taču tai nav obligāti jābūt pabeigtai.</w:t>
      </w:r>
    </w:p>
    <w:p w:rsidR="00F77EEB" w:rsidRPr="00AF00EC" w:rsidRDefault="00BA0AC8" w:rsidP="00F00463">
      <w:pPr>
        <w:pStyle w:val="ListParagraph"/>
        <w:numPr>
          <w:ilvl w:val="1"/>
          <w:numId w:val="1"/>
        </w:numPr>
        <w:jc w:val="both"/>
      </w:pPr>
      <w:r w:rsidRPr="00AF00EC">
        <w:t>Reģistrācijas brīdī jānodrošina iespēja piedalīties visos strīdu risinājumu variantos.</w:t>
      </w:r>
    </w:p>
    <w:p w:rsidR="00F77EEB" w:rsidRPr="00AF00EC" w:rsidRDefault="00BA0AC8" w:rsidP="00F00463">
      <w:pPr>
        <w:pStyle w:val="ListParagraph"/>
        <w:numPr>
          <w:ilvl w:val="1"/>
          <w:numId w:val="1"/>
        </w:numPr>
        <w:jc w:val="both"/>
      </w:pPr>
      <w:r w:rsidRPr="00AF00EC">
        <w:t>Biznesa partneru informēšana reģistrācijas brīdī.</w:t>
      </w:r>
    </w:p>
    <w:p w:rsidR="00F77EEB" w:rsidRPr="00AF00EC" w:rsidRDefault="00BA0AC8" w:rsidP="00F00463">
      <w:pPr>
        <w:pStyle w:val="ListParagraph"/>
        <w:numPr>
          <w:ilvl w:val="1"/>
          <w:numId w:val="1"/>
        </w:numPr>
        <w:jc w:val="both"/>
      </w:pPr>
      <w:r w:rsidRPr="00AF00EC">
        <w:t xml:space="preserve">Nosakiet </w:t>
      </w:r>
      <w:proofErr w:type="spellStart"/>
      <w:r w:rsidRPr="00AF00EC">
        <w:t>kontaktpersonu</w:t>
      </w:r>
      <w:bookmarkStart w:id="0" w:name="_GoBack"/>
      <w:bookmarkEnd w:id="0"/>
      <w:r w:rsidRPr="00AF00EC">
        <w:t>(as</w:t>
      </w:r>
      <w:proofErr w:type="spellEnd"/>
      <w:r w:rsidRPr="00AF00EC">
        <w:t>), kas atbild par iekšējo strīdu risināšanas kārtību un procesu jautājumiem</w:t>
      </w:r>
    </w:p>
    <w:p w:rsidR="00F00463" w:rsidRPr="00AF00EC" w:rsidRDefault="00F00463" w:rsidP="00F00463">
      <w:pPr>
        <w:jc w:val="both"/>
        <w:rPr>
          <w:u w:val="single"/>
        </w:rPr>
      </w:pPr>
    </w:p>
    <w:p w:rsidR="00346C37" w:rsidRPr="00AF00EC" w:rsidRDefault="00346C37" w:rsidP="00F00463">
      <w:pPr>
        <w:jc w:val="both"/>
        <w:rPr>
          <w:u w:val="single"/>
        </w:rPr>
      </w:pPr>
      <w:r w:rsidRPr="00AF00EC">
        <w:rPr>
          <w:u w:val="single"/>
        </w:rPr>
        <w:t>Reģistrācija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AF00EC" w:rsidTr="00F00463">
        <w:tc>
          <w:tcPr>
            <w:tcW w:w="9242" w:type="dxa"/>
          </w:tcPr>
          <w:p w:rsidR="00F00463" w:rsidRPr="00AF00EC" w:rsidRDefault="00F00463" w:rsidP="00F00463">
            <w:proofErr w:type="gramStart"/>
            <w:r w:rsidRPr="00AF00EC">
              <w:t>Reģistrējoties,</w:t>
            </w:r>
            <w:proofErr w:type="gramEnd"/>
            <w:r w:rsidRPr="00AF00EC">
              <w:t xml:space="preserve"> sabiedrība apstiprina, ka tā ir:</w:t>
            </w:r>
          </w:p>
          <w:p w:rsidR="00F00463" w:rsidRPr="00AF00EC" w:rsidRDefault="00F00463" w:rsidP="00F00463">
            <w:pPr>
              <w:pStyle w:val="ListParagraph"/>
              <w:numPr>
                <w:ilvl w:val="0"/>
                <w:numId w:val="2"/>
              </w:numPr>
            </w:pPr>
            <w:r w:rsidRPr="00AF00EC">
              <w:t xml:space="preserve">pabeigusi pašnovērtējuma veikšanu </w:t>
            </w:r>
          </w:p>
          <w:p w:rsidR="00F00463" w:rsidRPr="00AF00EC" w:rsidRDefault="00F00463" w:rsidP="00F00463">
            <w:pPr>
              <w:pStyle w:val="ListParagraph"/>
              <w:numPr>
                <w:ilvl w:val="0"/>
                <w:numId w:val="2"/>
              </w:numPr>
            </w:pPr>
            <w:r w:rsidRPr="00AF00EC">
              <w:t>veikusi nepieciešamos pasākumus, lai darbība varētu norisināties atbilstoši principiem un ieviešanas un īstenošanas procedūrām</w:t>
            </w:r>
          </w:p>
          <w:p w:rsidR="00F00463" w:rsidRPr="00AF00EC" w:rsidRDefault="00F00463" w:rsidP="00F00463">
            <w:pPr>
              <w:pStyle w:val="ListParagraph"/>
              <w:numPr>
                <w:ilvl w:val="0"/>
                <w:numId w:val="2"/>
              </w:numPr>
            </w:pPr>
            <w:r w:rsidRPr="00AF00EC">
              <w:t>gatava iesaistīties strīdu risināšanas variantos, ko atsevišķiem un kolektīviem strīdiem piedāvā Satvars</w:t>
            </w:r>
          </w:p>
          <w:p w:rsidR="00F00463" w:rsidRPr="00AF00EC" w:rsidRDefault="00F00463" w:rsidP="00F00463">
            <w:pPr>
              <w:jc w:val="both"/>
            </w:pPr>
          </w:p>
        </w:tc>
      </w:tr>
    </w:tbl>
    <w:p w:rsidR="00EB5727" w:rsidRPr="00AF00EC" w:rsidRDefault="00EB5727" w:rsidP="00F00463">
      <w:pPr>
        <w:jc w:val="both"/>
      </w:pPr>
    </w:p>
    <w:p w:rsidR="00F00463" w:rsidRPr="00AF00EC" w:rsidRDefault="00F00463">
      <w:r w:rsidRPr="00AF00EC">
        <w:br w:type="page"/>
      </w:r>
    </w:p>
    <w:p w:rsidR="00F00463" w:rsidRPr="00AF00EC" w:rsidRDefault="00F00463" w:rsidP="00F00463">
      <w:pPr>
        <w:jc w:val="both"/>
      </w:pPr>
    </w:p>
    <w:p w:rsidR="00F274C8" w:rsidRPr="00AF00EC" w:rsidRDefault="00346C37" w:rsidP="00F00463">
      <w:pPr>
        <w:spacing w:after="120"/>
        <w:jc w:val="both"/>
        <w:rPr>
          <w:u w:val="single"/>
        </w:rPr>
      </w:pPr>
      <w:r w:rsidRPr="00AF00EC">
        <w:rPr>
          <w:u w:val="single"/>
        </w:rPr>
        <w:t xml:space="preserve">Reģistrācija </w:t>
      </w:r>
    </w:p>
    <w:p w:rsidR="00346C37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Jāveic tādam sabiedrības vadītājam vai vadītajiem, kam ir pilnvaras noteikt, ka visa sabiedrība ES ietvaros, tostarp visi tās ES meitas uzņēmumi (</w:t>
      </w:r>
      <w:proofErr w:type="gramStart"/>
      <w:r w:rsidRPr="00AF00EC">
        <w:t>t.i.</w:t>
      </w:r>
      <w:proofErr w:type="gramEnd"/>
      <w:r w:rsidRPr="00AF00EC">
        <w:t xml:space="preserve"> iespējams, ka sabiedrības struktūras dēļ to būs nepieciešams parakstīt vairākiem vadītājiem). </w:t>
      </w:r>
    </w:p>
    <w:p w:rsidR="005C1A89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 xml:space="preserve">Nepieciešams izvēlēties kontaktpersonu, kas atbild par iekšējo strīdu risināšanu reģistrācijas laikā. </w:t>
      </w:r>
    </w:p>
    <w:p w:rsidR="00346C37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Reģistrācijas brīdī ir jābūt izvēlētai kontaktpersonai, kas atbild par procesu</w:t>
      </w:r>
    </w:p>
    <w:p w:rsidR="005C1A89" w:rsidRPr="00AF00EC" w:rsidRDefault="00AF00EC" w:rsidP="00F0046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Informācijai j</w:t>
      </w:r>
      <w:r w:rsidR="00BA0AC8" w:rsidRPr="00AF00EC">
        <w:t xml:space="preserve">ābūt </w:t>
      </w:r>
      <w:r>
        <w:t xml:space="preserve">publicētai </w:t>
      </w:r>
      <w:r w:rsidR="00BA0AC8" w:rsidRPr="00AF00EC">
        <w:t xml:space="preserve">uzticamā un publiski pieejamā interneta vietnē. Visu reģistrēto sabiedrību reģistrāciju veicošo vadītāju un kontaktpersonu vārdi un amata nosaukumi tiks publicēti interneta vietnē. </w:t>
      </w:r>
    </w:p>
    <w:p w:rsidR="00346C37" w:rsidRPr="00AF00EC" w:rsidRDefault="00346C37" w:rsidP="00F00463">
      <w:pPr>
        <w:jc w:val="both"/>
        <w:rPr>
          <w:u w:val="single"/>
        </w:rPr>
      </w:pPr>
      <w:r w:rsidRPr="00AF00EC">
        <w:rPr>
          <w:u w:val="single"/>
        </w:rPr>
        <w:t>Ieviešana</w:t>
      </w:r>
    </w:p>
    <w:p w:rsidR="00044EC1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Izveidojiet iekšējo strīdu risināšanas procedūru, kas nav atkarīga no komerciāla rakstura pārrunām, ir objektīva un ātra.</w:t>
      </w:r>
    </w:p>
    <w:p w:rsidR="00044EC1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 xml:space="preserve">Nodrošiniet iespēju izmantot visus strīdu risināšanas variantus (ieskaitot </w:t>
      </w:r>
      <w:proofErr w:type="spellStart"/>
      <w:r w:rsidRPr="00AF00EC">
        <w:t>mediāciju</w:t>
      </w:r>
      <w:proofErr w:type="spellEnd"/>
      <w:r w:rsidRPr="00AF00EC">
        <w:t xml:space="preserve"> un arbitrāžu). Šī iemesla dēļ var nākties pārskatīt un nepieciešamības gadījumā veikt izmaiņas līgumos.</w:t>
      </w:r>
    </w:p>
    <w:p w:rsidR="00EB5727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Pabeidziet apmācības kursus, lai varētu darboties atbilstoši Principiem.</w:t>
      </w:r>
    </w:p>
    <w:p w:rsidR="00346C37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Informējiet biznesa partnerus par reģistrāciju Satvarā (sabiedrības var izvēlēties informēšanas veidu)</w:t>
      </w:r>
      <w:r w:rsidR="00AF00EC">
        <w:t>.</w:t>
      </w:r>
    </w:p>
    <w:p w:rsidR="00346C37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Sabiedrības tiek mudinātas publicēt informāciju par dalību Satvarā</w:t>
      </w:r>
      <w:r w:rsidR="00AF00EC">
        <w:t>.</w:t>
      </w:r>
    </w:p>
    <w:p w:rsidR="00346C37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Apņemšanās atturēties no</w:t>
      </w:r>
      <w:proofErr w:type="gramStart"/>
      <w:r w:rsidRPr="00AF00EC">
        <w:t xml:space="preserve">  </w:t>
      </w:r>
      <w:proofErr w:type="gramEnd"/>
      <w:r w:rsidRPr="00AF00EC">
        <w:t>komerciālu pretpasākumu īstenošanas sūdzības gadījumā</w:t>
      </w:r>
      <w:r w:rsidR="00AF00EC">
        <w:t>.</w:t>
      </w:r>
    </w:p>
    <w:p w:rsidR="00044EC1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Apņemšanās labot procesa saistību neievērošanu, ja Pārvaldības grupa ir izteikusi brīdinājumu</w:t>
      </w:r>
      <w:r w:rsidR="00AF00EC">
        <w:t>.</w:t>
      </w:r>
    </w:p>
    <w:p w:rsidR="00044EC1" w:rsidRPr="00AF00EC" w:rsidRDefault="00BA0AC8" w:rsidP="00F00463">
      <w:pPr>
        <w:pStyle w:val="ListParagraph"/>
        <w:numPr>
          <w:ilvl w:val="0"/>
          <w:numId w:val="1"/>
        </w:numPr>
        <w:jc w:val="both"/>
      </w:pPr>
      <w:r w:rsidRPr="00AF00EC">
        <w:t>Dalība obligātajā ikgadējā aptaujā, ko veic katras valsts meitas uzņēmums, uz ko attiecas Satvars</w:t>
      </w:r>
      <w:r w:rsidR="00AF00EC">
        <w:t>.</w:t>
      </w:r>
    </w:p>
    <w:sectPr w:rsidR="00044EC1" w:rsidRPr="00AF00EC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03" w:rsidRDefault="00436B03" w:rsidP="00FC4A05">
      <w:pPr>
        <w:spacing w:after="0" w:line="240" w:lineRule="auto"/>
      </w:pPr>
      <w:r>
        <w:separator/>
      </w:r>
    </w:p>
  </w:endnote>
  <w:endnote w:type="continuationSeparator" w:id="0">
    <w:p w:rsidR="00436B03" w:rsidRDefault="00436B03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03" w:rsidRDefault="00436B03" w:rsidP="00FC4A05">
      <w:pPr>
        <w:spacing w:after="0" w:line="240" w:lineRule="auto"/>
      </w:pPr>
      <w:r>
        <w:separator/>
      </w:r>
    </w:p>
  </w:footnote>
  <w:footnote w:type="continuationSeparator" w:id="0">
    <w:p w:rsidR="00436B03" w:rsidRDefault="00436B03" w:rsidP="00FC4A05">
      <w:pPr>
        <w:spacing w:after="0" w:line="240" w:lineRule="auto"/>
      </w:pPr>
      <w:r>
        <w:continuationSeparator/>
      </w:r>
    </w:p>
  </w:footnote>
  <w:footnote w:id="1">
    <w:p w:rsidR="00CF42CD" w:rsidRPr="00F24421" w:rsidRDefault="00CF42CD" w:rsidP="00E00A5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bdr w:val="none" w:sz="0" w:space="0" w:color="auto" w:frame="1"/>
        </w:rPr>
        <w:t>Darbinieki ≤ 250 un vai nu apgrozījums ≤€50milj., vai bilance ≤ €43 milj.</w:t>
      </w:r>
      <w:r>
        <w:t xml:space="preserve"> </w:t>
      </w:r>
    </w:p>
    <w:p w:rsidR="00CF42CD" w:rsidRPr="00F24421" w:rsidRDefault="00CF42CD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21093"/>
    <w:rsid w:val="00023B2A"/>
    <w:rsid w:val="00044EC1"/>
    <w:rsid w:val="000F7DF5"/>
    <w:rsid w:val="00144903"/>
    <w:rsid w:val="001E34A2"/>
    <w:rsid w:val="001E53C6"/>
    <w:rsid w:val="002860EA"/>
    <w:rsid w:val="00290D05"/>
    <w:rsid w:val="00301870"/>
    <w:rsid w:val="00341A07"/>
    <w:rsid w:val="00342FF1"/>
    <w:rsid w:val="00346C37"/>
    <w:rsid w:val="003529E9"/>
    <w:rsid w:val="00362D42"/>
    <w:rsid w:val="003A336F"/>
    <w:rsid w:val="003B036A"/>
    <w:rsid w:val="003C019C"/>
    <w:rsid w:val="0041154B"/>
    <w:rsid w:val="00436B03"/>
    <w:rsid w:val="00444485"/>
    <w:rsid w:val="004B342C"/>
    <w:rsid w:val="004E5410"/>
    <w:rsid w:val="00577D62"/>
    <w:rsid w:val="00580F1C"/>
    <w:rsid w:val="005B33E8"/>
    <w:rsid w:val="005C1A89"/>
    <w:rsid w:val="005E7122"/>
    <w:rsid w:val="00601BEF"/>
    <w:rsid w:val="00615991"/>
    <w:rsid w:val="00623AA2"/>
    <w:rsid w:val="00644748"/>
    <w:rsid w:val="00650471"/>
    <w:rsid w:val="006604D0"/>
    <w:rsid w:val="00661631"/>
    <w:rsid w:val="006746CB"/>
    <w:rsid w:val="00675E99"/>
    <w:rsid w:val="006F41AE"/>
    <w:rsid w:val="0071344C"/>
    <w:rsid w:val="0075767B"/>
    <w:rsid w:val="00772B38"/>
    <w:rsid w:val="007763D0"/>
    <w:rsid w:val="00777121"/>
    <w:rsid w:val="00783554"/>
    <w:rsid w:val="007B7381"/>
    <w:rsid w:val="0084682A"/>
    <w:rsid w:val="00894D3E"/>
    <w:rsid w:val="008D76B1"/>
    <w:rsid w:val="008F229F"/>
    <w:rsid w:val="0093587B"/>
    <w:rsid w:val="0095402D"/>
    <w:rsid w:val="009D289A"/>
    <w:rsid w:val="00A328D9"/>
    <w:rsid w:val="00A60FF6"/>
    <w:rsid w:val="00AA0A3C"/>
    <w:rsid w:val="00AB4B6B"/>
    <w:rsid w:val="00AB5716"/>
    <w:rsid w:val="00AC4EDE"/>
    <w:rsid w:val="00AC7EE1"/>
    <w:rsid w:val="00AD7D04"/>
    <w:rsid w:val="00AE17A4"/>
    <w:rsid w:val="00AF00EC"/>
    <w:rsid w:val="00AF1788"/>
    <w:rsid w:val="00B05A0A"/>
    <w:rsid w:val="00B6367E"/>
    <w:rsid w:val="00BA0AC8"/>
    <w:rsid w:val="00BB7936"/>
    <w:rsid w:val="00BD1A92"/>
    <w:rsid w:val="00BF2238"/>
    <w:rsid w:val="00C11CA5"/>
    <w:rsid w:val="00C30E7F"/>
    <w:rsid w:val="00C373A0"/>
    <w:rsid w:val="00C41381"/>
    <w:rsid w:val="00C74EB9"/>
    <w:rsid w:val="00CC4B7F"/>
    <w:rsid w:val="00CF42CD"/>
    <w:rsid w:val="00D018FA"/>
    <w:rsid w:val="00D12AAB"/>
    <w:rsid w:val="00D477B9"/>
    <w:rsid w:val="00D7325C"/>
    <w:rsid w:val="00D745E4"/>
    <w:rsid w:val="00DD4957"/>
    <w:rsid w:val="00DE1B58"/>
    <w:rsid w:val="00DF435D"/>
    <w:rsid w:val="00E00A58"/>
    <w:rsid w:val="00E33D9E"/>
    <w:rsid w:val="00E4422B"/>
    <w:rsid w:val="00EB5727"/>
    <w:rsid w:val="00EC28D6"/>
    <w:rsid w:val="00EC5CC8"/>
    <w:rsid w:val="00EE7B12"/>
    <w:rsid w:val="00EF2C8C"/>
    <w:rsid w:val="00F00463"/>
    <w:rsid w:val="00F23E47"/>
    <w:rsid w:val="00F24421"/>
    <w:rsid w:val="00F274C8"/>
    <w:rsid w:val="00F707F7"/>
    <w:rsid w:val="00F77EEB"/>
    <w:rsid w:val="00FA5C80"/>
    <w:rsid w:val="00FC4A05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05"/>
  </w:style>
  <w:style w:type="paragraph" w:styleId="Footer">
    <w:name w:val="footer"/>
    <w:basedOn w:val="Normal"/>
    <w:link w:val="Foot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05"/>
  </w:style>
  <w:style w:type="table" w:styleId="TableGrid">
    <w:name w:val="Table Grid"/>
    <w:basedOn w:val="Table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4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4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4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2442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1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05"/>
  </w:style>
  <w:style w:type="paragraph" w:styleId="Footer">
    <w:name w:val="footer"/>
    <w:basedOn w:val="Normal"/>
    <w:link w:val="Footer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05"/>
  </w:style>
  <w:style w:type="table" w:styleId="TableGrid">
    <w:name w:val="Table Grid"/>
    <w:basedOn w:val="Table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4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4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4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2442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1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B"/>
    <w:rsid w:val="001A5DB6"/>
    <w:rsid w:val="00644C91"/>
    <w:rsid w:val="009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20A0-EDCA-48EA-8160-B6AF68E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ecrbaltic</cp:lastModifiedBy>
  <cp:revision>2</cp:revision>
  <dcterms:created xsi:type="dcterms:W3CDTF">2015-02-27T09:03:00Z</dcterms:created>
  <dcterms:modified xsi:type="dcterms:W3CDTF">2015-02-27T09:03:00Z</dcterms:modified>
</cp:coreProperties>
</file>